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4D" w:rsidRDefault="003A384D" w:rsidP="003A384D">
      <w:pPr>
        <w:spacing w:after="240"/>
        <w:jc w:val="center"/>
        <w:rPr>
          <w:b/>
          <w:bCs/>
          <w:sz w:val="28"/>
        </w:rPr>
      </w:pPr>
    </w:p>
    <w:p w:rsidR="003A384D" w:rsidRDefault="003A384D" w:rsidP="003A384D">
      <w:pPr>
        <w:spacing w:after="240"/>
        <w:jc w:val="center"/>
        <w:rPr>
          <w:b/>
          <w:bCs/>
          <w:sz w:val="28"/>
        </w:rPr>
      </w:pPr>
      <w:r w:rsidRPr="003A384D">
        <w:rPr>
          <w:b/>
          <w:bCs/>
          <w:sz w:val="28"/>
        </w:rPr>
        <w:t>Commission Justice Economique</w:t>
      </w:r>
      <w:r w:rsidRPr="003A384D">
        <w:rPr>
          <w:sz w:val="28"/>
        </w:rPr>
        <w:t xml:space="preserve"> – </w:t>
      </w:r>
      <w:r w:rsidRPr="003A384D">
        <w:rPr>
          <w:b/>
          <w:bCs/>
          <w:sz w:val="28"/>
        </w:rPr>
        <w:t>Cercle Montesquieu</w:t>
      </w:r>
    </w:p>
    <w:p w:rsidR="003A384D" w:rsidRDefault="003A384D" w:rsidP="003A384D">
      <w:pPr>
        <w:spacing w:after="240"/>
        <w:jc w:val="center"/>
      </w:pPr>
      <w:bookmarkStart w:id="0" w:name="_GoBack"/>
      <w:r>
        <w:rPr>
          <w:b/>
          <w:bCs/>
          <w:sz w:val="28"/>
        </w:rPr>
        <w:t xml:space="preserve">Compte-rendu de la réunion du </w:t>
      </w:r>
      <w:r w:rsidR="00322832">
        <w:rPr>
          <w:b/>
          <w:bCs/>
          <w:sz w:val="28"/>
        </w:rPr>
        <w:t>28 novembre</w:t>
      </w:r>
      <w:r>
        <w:rPr>
          <w:b/>
          <w:bCs/>
          <w:sz w:val="28"/>
        </w:rPr>
        <w:t xml:space="preserve"> 2014</w:t>
      </w:r>
      <w:r>
        <w:br/>
        <w:t xml:space="preserve">  </w:t>
      </w:r>
      <w:r>
        <w:br/>
      </w:r>
    </w:p>
    <w:p w:rsidR="00322832" w:rsidRDefault="00322832" w:rsidP="00322832">
      <w:pPr>
        <w:rPr>
          <w:color w:val="000000"/>
        </w:rPr>
      </w:pPr>
      <w:r>
        <w:t xml:space="preserve">La </w:t>
      </w:r>
      <w:r>
        <w:rPr>
          <w:b/>
          <w:bCs/>
          <w:color w:val="000000"/>
        </w:rPr>
        <w:t>Commission Justice Economique</w:t>
      </w:r>
      <w:r>
        <w:rPr>
          <w:color w:val="000000"/>
        </w:rPr>
        <w:t xml:space="preserve"> s’est réunie </w:t>
      </w:r>
      <w:bookmarkEnd w:id="0"/>
      <w:r>
        <w:rPr>
          <w:color w:val="000000"/>
        </w:rPr>
        <w:t>le 28 novembre 2014</w:t>
      </w:r>
      <w:r>
        <w:rPr>
          <w:color w:val="000000"/>
        </w:rPr>
        <w:t xml:space="preserve">. Etaient présents Pierre, Stephen, Jérôme, Gilles et Laure. </w:t>
      </w:r>
      <w:r>
        <w:rPr>
          <w:color w:val="000000"/>
        </w:rPr>
        <w:br/>
        <w:t xml:space="preserve">  </w:t>
      </w:r>
    </w:p>
    <w:p w:rsidR="00322832" w:rsidRDefault="00322832" w:rsidP="00322832">
      <w:pPr>
        <w:shd w:val="clear" w:color="auto" w:fill="FFFFFF"/>
        <w:rPr>
          <w:b/>
          <w:bCs/>
          <w:color w:val="000000"/>
        </w:rPr>
      </w:pPr>
      <w:r>
        <w:rPr>
          <w:b/>
          <w:bCs/>
          <w:color w:val="000000"/>
        </w:rPr>
        <w:t>L’objectif était de faire un point sur les actions entreprises et travailler sur les projets en cours.</w:t>
      </w:r>
    </w:p>
    <w:p w:rsidR="00322832" w:rsidRDefault="00322832" w:rsidP="00322832">
      <w:pPr>
        <w:shd w:val="clear" w:color="auto" w:fill="FFFFFF"/>
      </w:pPr>
    </w:p>
    <w:p w:rsidR="00322832" w:rsidRDefault="00322832" w:rsidP="00322832">
      <w:pPr>
        <w:pStyle w:val="Paragraphedeliste"/>
        <w:numPr>
          <w:ilvl w:val="0"/>
          <w:numId w:val="4"/>
        </w:numPr>
        <w:shd w:val="clear" w:color="auto" w:fill="FFFFFF"/>
        <w:rPr>
          <w:color w:val="000000"/>
        </w:rPr>
      </w:pPr>
      <w:r>
        <w:rPr>
          <w:color w:val="000000"/>
          <w:u w:val="single"/>
        </w:rPr>
        <w:t>Point sur la participation du Cercle au colloque sur la Cyber Criminalité du 18 novembre dernier</w:t>
      </w:r>
      <w:r>
        <w:rPr>
          <w:color w:val="000000"/>
        </w:rPr>
        <w:t xml:space="preserve"> - Un grand succès relaté par Laure et Gilles. L’occasion de nouer un partenariat avec </w:t>
      </w:r>
      <w:proofErr w:type="gramStart"/>
      <w:r>
        <w:rPr>
          <w:color w:val="000000"/>
        </w:rPr>
        <w:t>l’ADIJ ,</w:t>
      </w:r>
      <w:proofErr w:type="gramEnd"/>
      <w:r>
        <w:rPr>
          <w:color w:val="000000"/>
        </w:rPr>
        <w:t xml:space="preserve"> qui s’associe avec nous dans la participation à la consultation ouverte sur le </w:t>
      </w:r>
      <w:r>
        <w:rPr>
          <w:b/>
          <w:bCs/>
          <w:color w:val="000000"/>
        </w:rPr>
        <w:t>projet de loi sur le numérique</w:t>
      </w:r>
      <w:r>
        <w:rPr>
          <w:color w:val="000000"/>
        </w:rPr>
        <w:t>.</w:t>
      </w:r>
    </w:p>
    <w:p w:rsidR="00322832" w:rsidRDefault="00322832" w:rsidP="00322832">
      <w:pPr>
        <w:pStyle w:val="Paragraphedeliste"/>
        <w:shd w:val="clear" w:color="auto" w:fill="FFFFFF"/>
        <w:ind w:left="765"/>
        <w:rPr>
          <w:color w:val="000000"/>
        </w:rPr>
      </w:pPr>
      <w:r>
        <w:rPr>
          <w:color w:val="000000"/>
        </w:rPr>
        <w:t xml:space="preserve">Une contribution commune sera donc transmise au </w:t>
      </w:r>
      <w:r>
        <w:rPr>
          <w:b/>
          <w:bCs/>
          <w:color w:val="000000"/>
        </w:rPr>
        <w:t>ministère et une audition sollicitée</w:t>
      </w:r>
      <w:r>
        <w:rPr>
          <w:color w:val="000000"/>
        </w:rPr>
        <w:t>. Alexandre Menais nous accompagne dans cette démarche. Laure et Gilles seront les deux co-pilotes.</w:t>
      </w:r>
    </w:p>
    <w:p w:rsidR="00322832" w:rsidRDefault="00322832" w:rsidP="00322832">
      <w:pPr>
        <w:pStyle w:val="Paragraphedeliste"/>
        <w:shd w:val="clear" w:color="auto" w:fill="FFFFFF"/>
        <w:ind w:left="765"/>
        <w:rPr>
          <w:color w:val="000000"/>
        </w:rPr>
      </w:pPr>
    </w:p>
    <w:p w:rsidR="00322832" w:rsidRDefault="00322832" w:rsidP="00322832">
      <w:pPr>
        <w:pStyle w:val="Paragraphedeliste"/>
        <w:numPr>
          <w:ilvl w:val="0"/>
          <w:numId w:val="4"/>
        </w:numPr>
        <w:shd w:val="clear" w:color="auto" w:fill="FFFFFF"/>
      </w:pPr>
      <w:r>
        <w:rPr>
          <w:color w:val="000000"/>
          <w:u w:val="single"/>
        </w:rPr>
        <w:t>Point sur la participation du Cercle au colloque Paris-Place du droit qui se tiendra le 10 décembre 2014</w:t>
      </w:r>
      <w:r>
        <w:rPr>
          <w:color w:val="000000"/>
        </w:rPr>
        <w:t xml:space="preserve"> – Laure relance Maylis pour que nombreux soient les membres. Denis </w:t>
      </w:r>
      <w:proofErr w:type="spellStart"/>
      <w:r>
        <w:rPr>
          <w:color w:val="000000"/>
        </w:rPr>
        <w:t>Musson</w:t>
      </w:r>
      <w:proofErr w:type="spellEnd"/>
      <w:r>
        <w:rPr>
          <w:color w:val="000000"/>
        </w:rPr>
        <w:t xml:space="preserve"> est en première ligne sur ce projet en partenariat avec l’AFJE, le Barreau de Paris et le tribunal de commerce. </w:t>
      </w:r>
      <w:r>
        <w:rPr>
          <w:b/>
          <w:bCs/>
          <w:color w:val="000000"/>
        </w:rPr>
        <w:t>Déjà 250 inscrits</w:t>
      </w:r>
      <w:r>
        <w:rPr>
          <w:color w:val="000000"/>
        </w:rPr>
        <w:t xml:space="preserve">. </w:t>
      </w:r>
    </w:p>
    <w:p w:rsidR="00322832" w:rsidRDefault="00322832" w:rsidP="00322832">
      <w:pPr>
        <w:shd w:val="clear" w:color="auto" w:fill="FFFFFF"/>
      </w:pPr>
    </w:p>
    <w:p w:rsidR="00322832" w:rsidRDefault="00322832" w:rsidP="00322832">
      <w:pPr>
        <w:pStyle w:val="Paragraphedeliste"/>
        <w:numPr>
          <w:ilvl w:val="0"/>
          <w:numId w:val="4"/>
        </w:numPr>
        <w:rPr>
          <w:rFonts w:ascii="Times New Roman" w:hAnsi="Times New Roman"/>
        </w:rPr>
      </w:pPr>
      <w:r>
        <w:rPr>
          <w:color w:val="000000"/>
          <w:u w:val="single"/>
        </w:rPr>
        <w:t>Le projet des diners- débats entre magistrats, directeurs juridiques et avocats est lancé</w:t>
      </w:r>
      <w:r>
        <w:rPr>
          <w:color w:val="000000"/>
        </w:rPr>
        <w:t xml:space="preserve"> - </w:t>
      </w:r>
      <w:r>
        <w:rPr>
          <w:b/>
          <w:bCs/>
          <w:color w:val="000000"/>
        </w:rPr>
        <w:t>Un premier diner pourrait voir le jour début février</w:t>
      </w:r>
      <w:r>
        <w:rPr>
          <w:color w:val="000000"/>
        </w:rPr>
        <w:t xml:space="preserve"> éventuellement à l’Hôtel Raphael. L’idée serait de réunir quelques magistrats de la cour de cassation autour de la sortie du </w:t>
      </w:r>
      <w:r>
        <w:rPr>
          <w:i/>
          <w:iCs/>
        </w:rPr>
        <w:t>rapport du club des juristes</w:t>
      </w:r>
      <w:r>
        <w:t xml:space="preserve"> sur </w:t>
      </w:r>
      <w:r>
        <w:rPr>
          <w:i/>
          <w:iCs/>
        </w:rPr>
        <w:t>« l’évaluation du préjudice financier de l’investisseur dans les sociétés cotées</w:t>
      </w:r>
      <w:r>
        <w:t xml:space="preserve"> » dirigé par le Président Tricot. Pierre se charge de contacter le Professeur </w:t>
      </w:r>
      <w:proofErr w:type="spellStart"/>
      <w:r>
        <w:t>Jamin</w:t>
      </w:r>
      <w:proofErr w:type="spellEnd"/>
      <w:r>
        <w:t xml:space="preserve">. Laure va solliciter Jacques Darmon co-auteur et déjà acquis au projet. Une mobilisation sera nécessaire pour conclure l’organisation au plus vite. La première tâche est d’identifier les invités (autour d’une quinzaine) Tous doivent se mobiliser pour proposer des noms tels que des magistrats à la Cour de </w:t>
      </w:r>
      <w:proofErr w:type="spellStart"/>
      <w:r>
        <w:t>Cass</w:t>
      </w:r>
      <w:proofErr w:type="spellEnd"/>
      <w:r>
        <w:t xml:space="preserve"> (Stephen) des avocats si possible MCO ; Laure est point de coordination.</w:t>
      </w:r>
    </w:p>
    <w:p w:rsidR="00322832" w:rsidRDefault="00322832" w:rsidP="00322832">
      <w:pPr>
        <w:ind w:left="720"/>
        <w:rPr>
          <w:rFonts w:ascii="Times New Roman" w:hAnsi="Times New Roman"/>
        </w:rPr>
      </w:pPr>
      <w:r>
        <w:t xml:space="preserve">Il faudra trouver un nom pour baptiser ces </w:t>
      </w:r>
      <w:r>
        <w:rPr>
          <w:b/>
          <w:bCs/>
        </w:rPr>
        <w:t>« diners judiciaires</w:t>
      </w:r>
      <w:r>
        <w:t> » et crée</w:t>
      </w:r>
      <w:r>
        <w:t xml:space="preserve">r un concept. Tous </w:t>
      </w:r>
      <w:proofErr w:type="gramStart"/>
      <w:r>
        <w:t>réfléchissent</w:t>
      </w:r>
      <w:r>
        <w:t xml:space="preserve"> .</w:t>
      </w:r>
      <w:proofErr w:type="gramEnd"/>
      <w:r>
        <w:t xml:space="preserve"> Il faudra prévoir un programme de diners sous une fréquence trimestrielle – il est retenu que la formule selon laquelle chaque entreprise est puissante invitante pour UN diner est la meilleure. L’ensemble des débats se fera sous le sceau de la confidentialité.</w:t>
      </w:r>
    </w:p>
    <w:p w:rsidR="00322832" w:rsidRDefault="00322832" w:rsidP="00322832">
      <w:pPr>
        <w:pStyle w:val="Paragraphedeliste"/>
        <w:shd w:val="clear" w:color="auto" w:fill="FFFFFF"/>
        <w:ind w:left="765"/>
      </w:pPr>
    </w:p>
    <w:p w:rsidR="00322832" w:rsidRDefault="00322832" w:rsidP="00322832">
      <w:pPr>
        <w:pStyle w:val="Paragraphedeliste"/>
        <w:numPr>
          <w:ilvl w:val="0"/>
          <w:numId w:val="4"/>
        </w:numPr>
        <w:shd w:val="clear" w:color="auto" w:fill="FFFFFF"/>
      </w:pPr>
      <w:r>
        <w:rPr>
          <w:color w:val="000000"/>
          <w:u w:val="single"/>
        </w:rPr>
        <w:lastRenderedPageBreak/>
        <w:t>Création d’un partenariat avec l’ENM</w:t>
      </w:r>
      <w:r>
        <w:rPr>
          <w:color w:val="000000"/>
        </w:rPr>
        <w:t> - l’idée est définitivement adoptée. Stephen nous propose de piloter la phase d’approche (</w:t>
      </w:r>
      <w:r>
        <w:rPr>
          <w:b/>
          <w:bCs/>
          <w:color w:val="000000"/>
        </w:rPr>
        <w:t>projet de lettre proposant un partenariat</w:t>
      </w:r>
      <w:r>
        <w:rPr>
          <w:color w:val="000000"/>
        </w:rPr>
        <w:t xml:space="preserve">). Est évoquée la possibilité d’inviter le Directeur de l’ENM à un prochain Conseil d’Administration. Il existe une demande manifeste de l’ENM qui vient de sortir un programme de cycle de formation sur l’entreprise. </w:t>
      </w:r>
    </w:p>
    <w:p w:rsidR="00322832" w:rsidRDefault="00322832" w:rsidP="00322832">
      <w:pPr>
        <w:pStyle w:val="Paragraphedeliste"/>
        <w:shd w:val="clear" w:color="auto" w:fill="FFFFFF"/>
        <w:ind w:left="765"/>
      </w:pPr>
    </w:p>
    <w:p w:rsidR="00322832" w:rsidRDefault="00322832" w:rsidP="00322832">
      <w:pPr>
        <w:pStyle w:val="Paragraphedeliste"/>
        <w:numPr>
          <w:ilvl w:val="0"/>
          <w:numId w:val="4"/>
        </w:numPr>
        <w:shd w:val="clear" w:color="auto" w:fill="FFFFFF"/>
      </w:pPr>
      <w:r>
        <w:rPr>
          <w:color w:val="000000"/>
          <w:u w:val="single"/>
        </w:rPr>
        <w:t>La question de la veille juridique concernant l’actualité législative</w:t>
      </w:r>
      <w:r>
        <w:rPr>
          <w:color w:val="000000"/>
        </w:rPr>
        <w:t xml:space="preserve"> (suivant un choix de sujets déterminés) -</w:t>
      </w:r>
      <w:r>
        <w:rPr>
          <w:b/>
          <w:bCs/>
          <w:color w:val="000000"/>
        </w:rPr>
        <w:t>l’octroi d’un stagiaire par le Cercle</w:t>
      </w:r>
      <w:r>
        <w:rPr>
          <w:color w:val="000000"/>
        </w:rPr>
        <w:t xml:space="preserve"> se pose à nouveau. L’option serait possible en prévoyant le partage des heures avec Maylis qui a besoin d’aide pour le site. Laure cherche des candidats avant de soumettre le projet au Conseil.   </w:t>
      </w:r>
    </w:p>
    <w:p w:rsidR="00322832" w:rsidRDefault="00322832" w:rsidP="00322832">
      <w:pPr>
        <w:pStyle w:val="Paragraphedeliste"/>
      </w:pPr>
    </w:p>
    <w:p w:rsidR="00322832" w:rsidRDefault="00322832" w:rsidP="00322832">
      <w:pPr>
        <w:pStyle w:val="Paragraphedeliste"/>
        <w:numPr>
          <w:ilvl w:val="0"/>
          <w:numId w:val="4"/>
        </w:numPr>
        <w:shd w:val="clear" w:color="auto" w:fill="FFFFFF"/>
      </w:pPr>
      <w:r>
        <w:rPr>
          <w:color w:val="000000"/>
          <w:u w:val="single"/>
        </w:rPr>
        <w:t xml:space="preserve">Le travail sur le </w:t>
      </w:r>
      <w:proofErr w:type="spellStart"/>
      <w:r>
        <w:rPr>
          <w:color w:val="000000"/>
          <w:u w:val="single"/>
        </w:rPr>
        <w:t>mapping</w:t>
      </w:r>
      <w:proofErr w:type="spellEnd"/>
      <w:r>
        <w:rPr>
          <w:color w:val="000000"/>
          <w:u w:val="single"/>
        </w:rPr>
        <w:t xml:space="preserve"> des différentes institutions (AMF, Conseil de la Concurrence…</w:t>
      </w:r>
      <w:r>
        <w:rPr>
          <w:color w:val="000000"/>
        </w:rPr>
        <w:t xml:space="preserve">) n’a pas démarré. Il aura pour objet de </w:t>
      </w:r>
      <w:r>
        <w:rPr>
          <w:b/>
          <w:bCs/>
          <w:color w:val="000000"/>
        </w:rPr>
        <w:t>scruter les institutions</w:t>
      </w:r>
      <w:r>
        <w:rPr>
          <w:color w:val="000000"/>
        </w:rPr>
        <w:t xml:space="preserve"> qui verront bientôt un processus de renouvellement se mettre en place, pour analyser les places qui se libéreraient. Pierre nous propose de rencontrer la </w:t>
      </w:r>
      <w:r>
        <w:rPr>
          <w:b/>
          <w:bCs/>
          <w:color w:val="000000"/>
        </w:rPr>
        <w:t>DJ de l’AMF</w:t>
      </w:r>
      <w:r>
        <w:rPr>
          <w:color w:val="000000"/>
        </w:rPr>
        <w:t xml:space="preserve"> qu’il connait et la solliciter pour qu’elle rentre au Cercle.</w:t>
      </w:r>
    </w:p>
    <w:p w:rsidR="00322832" w:rsidRDefault="00322832" w:rsidP="00322832">
      <w:pPr>
        <w:pStyle w:val="Paragraphedeliste"/>
      </w:pPr>
    </w:p>
    <w:p w:rsidR="00322832" w:rsidRDefault="00322832" w:rsidP="00322832">
      <w:pPr>
        <w:pStyle w:val="Paragraphedeliste"/>
        <w:numPr>
          <w:ilvl w:val="0"/>
          <w:numId w:val="4"/>
        </w:numPr>
        <w:shd w:val="clear" w:color="auto" w:fill="FFFFFF"/>
      </w:pPr>
      <w:r>
        <w:rPr>
          <w:color w:val="000000"/>
          <w:u w:val="single"/>
        </w:rPr>
        <w:t>Concernant enfin les actions menées pour définir le rôle du juriste d’entreprise</w:t>
      </w:r>
      <w:r>
        <w:rPr>
          <w:color w:val="000000"/>
        </w:rPr>
        <w:t xml:space="preserve">, acteur majeur dans le domaine de la Justice économique, la question de l’effectivité des directions juridiques dans le monde judiciaire, leur valeur ajoutée dans la prévention des risques, leur apport en matière de soft </w:t>
      </w:r>
      <w:proofErr w:type="spellStart"/>
      <w:r>
        <w:rPr>
          <w:color w:val="000000"/>
        </w:rPr>
        <w:t>law</w:t>
      </w:r>
      <w:proofErr w:type="spellEnd"/>
      <w:r>
        <w:rPr>
          <w:color w:val="000000"/>
        </w:rPr>
        <w:t xml:space="preserve">, et dans les cas de mises en place de modes alternatifs de résolutions des litiges (basés sur les qualités de négociateurs des juristes d’entreprises)… : le travail en partenariat avec </w:t>
      </w:r>
      <w:proofErr w:type="spellStart"/>
      <w:r>
        <w:rPr>
          <w:color w:val="000000"/>
        </w:rPr>
        <w:t>C</w:t>
      </w:r>
      <w:r>
        <w:rPr>
          <w:b/>
          <w:bCs/>
          <w:color w:val="000000"/>
        </w:rPr>
        <w:t>onventionS</w:t>
      </w:r>
      <w:proofErr w:type="spellEnd"/>
      <w:r>
        <w:rPr>
          <w:color w:val="000000"/>
        </w:rPr>
        <w:t xml:space="preserve"> mené par Antoine </w:t>
      </w:r>
      <w:proofErr w:type="spellStart"/>
      <w:r>
        <w:rPr>
          <w:color w:val="000000"/>
        </w:rPr>
        <w:t>Garapon</w:t>
      </w:r>
      <w:proofErr w:type="spellEnd"/>
      <w:r>
        <w:rPr>
          <w:color w:val="000000"/>
        </w:rPr>
        <w:t xml:space="preserve"> a démarré avec l’audition de 20 DJ déjà et une première séance de brainstorming la semaine prochaine avec la participation de certains membres du Cercle.</w:t>
      </w:r>
    </w:p>
    <w:p w:rsidR="00322832" w:rsidRDefault="00322832" w:rsidP="00322832">
      <w:pPr>
        <w:pStyle w:val="Paragraphedeliste"/>
      </w:pPr>
    </w:p>
    <w:p w:rsidR="00322832" w:rsidRDefault="00322832" w:rsidP="00322832">
      <w:pPr>
        <w:pStyle w:val="Paragraphedeliste"/>
      </w:pPr>
    </w:p>
    <w:p w:rsidR="00322832" w:rsidRDefault="00322832" w:rsidP="00322832">
      <w:pPr>
        <w:pStyle w:val="Paragraphedeliste"/>
      </w:pPr>
      <w:r>
        <w:rPr>
          <w:b/>
          <w:bCs/>
          <w:u w:val="single"/>
        </w:rPr>
        <w:t>En conclusion</w:t>
      </w:r>
      <w:r>
        <w:t xml:space="preserve">, notre toute jeune Commission peut déjà se prévaloir de plusieurs initiatives. C’est donc plein d’enthousiasme que nous nous sommes donné rendez-vous </w:t>
      </w:r>
      <w:r>
        <w:rPr>
          <w:b/>
          <w:bCs/>
          <w:i/>
          <w:iCs/>
        </w:rPr>
        <w:t>le 9 janvier 2015 à 8h30</w:t>
      </w:r>
      <w:r>
        <w:t xml:space="preserve"> chez CA Technologies, à la Défense. Laure enverra un itinéraire d’accès à la Tour début janvier.</w:t>
      </w:r>
    </w:p>
    <w:p w:rsidR="00322832" w:rsidRDefault="00322832" w:rsidP="00322832">
      <w:pPr>
        <w:pStyle w:val="Paragraphedeliste"/>
      </w:pPr>
    </w:p>
    <w:p w:rsidR="00322832" w:rsidRDefault="00322832" w:rsidP="00322832">
      <w:pPr>
        <w:pStyle w:val="Paragraphedeliste"/>
      </w:pPr>
      <w:r>
        <w:t>D’ici là les différents acteurs sont mobilisés pour avancer sur les sujets qu’ils ont accepté de prendre à leur charge. Laure sera un point de coordination pour faciliter la communication.</w:t>
      </w:r>
    </w:p>
    <w:p w:rsidR="00FC1ABF" w:rsidRDefault="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FC1ABF" w:rsidRPr="00FC1ABF" w:rsidRDefault="00FC1ABF" w:rsidP="00FC1ABF"/>
    <w:p w:rsidR="00EA54B0" w:rsidRDefault="00EA54B0" w:rsidP="00EA54B0"/>
    <w:p w:rsidR="000B3AEB" w:rsidRDefault="00EA54B0" w:rsidP="00EA54B0">
      <w:pPr>
        <w:tabs>
          <w:tab w:val="left" w:pos="2175"/>
        </w:tabs>
        <w:spacing w:after="0"/>
      </w:pPr>
      <w:r>
        <w:tab/>
      </w: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8D4F2A" w:rsidRDefault="008D4F2A" w:rsidP="00EA54B0">
      <w:pPr>
        <w:tabs>
          <w:tab w:val="left" w:pos="2175"/>
        </w:tabs>
        <w:spacing w:after="0"/>
      </w:pPr>
    </w:p>
    <w:p w:rsidR="004B1EC3" w:rsidRDefault="004B1EC3" w:rsidP="00EA54B0">
      <w:pPr>
        <w:tabs>
          <w:tab w:val="left" w:pos="2175"/>
        </w:tabs>
        <w:spacing w:after="0"/>
      </w:pPr>
    </w:p>
    <w:sectPr w:rsidR="004B1EC3" w:rsidSect="00182B14">
      <w:headerReference w:type="default" r:id="rId8"/>
      <w:footerReference w:type="default" r:id="rId9"/>
      <w:pgSz w:w="11906" w:h="16838" w:code="9"/>
      <w:pgMar w:top="1418" w:right="1418" w:bottom="0"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4F" w:rsidRDefault="00A1064F" w:rsidP="00FC1ABF">
      <w:pPr>
        <w:spacing w:after="0" w:line="240" w:lineRule="auto"/>
      </w:pPr>
      <w:r>
        <w:separator/>
      </w:r>
    </w:p>
  </w:endnote>
  <w:endnote w:type="continuationSeparator" w:id="0">
    <w:p w:rsidR="00A1064F" w:rsidRDefault="00A1064F" w:rsidP="00F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AC" w:rsidRDefault="000632AC">
    <w:pPr>
      <w:pStyle w:val="Pieddepage"/>
    </w:pPr>
  </w:p>
  <w:p w:rsidR="008D4F2A" w:rsidRDefault="008D4F2A">
    <w:pPr>
      <w:pStyle w:val="Pieddepage"/>
    </w:pPr>
    <w:r w:rsidRPr="005A3AC2">
      <w:rPr>
        <w:noProof/>
      </w:rPr>
      <w:drawing>
        <wp:anchor distT="0" distB="0" distL="114300" distR="114300" simplePos="0" relativeHeight="251659264" behindDoc="1" locked="0" layoutInCell="1" allowOverlap="1" wp14:anchorId="415B3465" wp14:editId="62F5EFAA">
          <wp:simplePos x="0" y="0"/>
          <wp:positionH relativeFrom="column">
            <wp:posOffset>-909955</wp:posOffset>
          </wp:positionH>
          <wp:positionV relativeFrom="paragraph">
            <wp:posOffset>-93980</wp:posOffset>
          </wp:positionV>
          <wp:extent cx="7560310" cy="409575"/>
          <wp:effectExtent l="0" t="0" r="2540" b="9525"/>
          <wp:wrapNone/>
          <wp:docPr id="5" name="Image 3" descr="pied-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CM.png"/>
                  <pic:cNvPicPr/>
                </pic:nvPicPr>
                <pic:blipFill rotWithShape="1">
                  <a:blip r:embed="rId1"/>
                  <a:srcRect t="16418" b="19403"/>
                  <a:stretch/>
                </pic:blipFill>
                <pic:spPr bwMode="auto">
                  <a:xfrm>
                    <a:off x="0" y="0"/>
                    <a:ext cx="7560310" cy="4095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0A1791" w:rsidRDefault="000A1791">
    <w:pPr>
      <w:pStyle w:val="Pieddepage"/>
    </w:pPr>
  </w:p>
  <w:p w:rsidR="008D4F2A" w:rsidRDefault="008D4F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4F" w:rsidRDefault="00A1064F" w:rsidP="00FC1ABF">
      <w:pPr>
        <w:spacing w:after="0" w:line="240" w:lineRule="auto"/>
      </w:pPr>
      <w:r>
        <w:separator/>
      </w:r>
    </w:p>
  </w:footnote>
  <w:footnote w:type="continuationSeparator" w:id="0">
    <w:p w:rsidR="00A1064F" w:rsidRDefault="00A1064F" w:rsidP="00FC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EB" w:rsidRDefault="000B3AEB">
    <w:pPr>
      <w:pStyle w:val="En-tte"/>
    </w:pPr>
    <w:r w:rsidRPr="00FC1ABF">
      <w:rPr>
        <w:noProof/>
      </w:rPr>
      <w:drawing>
        <wp:anchor distT="0" distB="0" distL="114300" distR="114300" simplePos="0" relativeHeight="251646976" behindDoc="1" locked="0" layoutInCell="1" allowOverlap="1" wp14:anchorId="5E6A0FBF" wp14:editId="25EAF239">
          <wp:simplePos x="0" y="0"/>
          <wp:positionH relativeFrom="column">
            <wp:posOffset>-899795</wp:posOffset>
          </wp:positionH>
          <wp:positionV relativeFrom="paragraph">
            <wp:posOffset>10795</wp:posOffset>
          </wp:positionV>
          <wp:extent cx="7560310" cy="1447800"/>
          <wp:effectExtent l="0" t="0" r="0" b="0"/>
          <wp:wrapNone/>
          <wp:docPr id="3" name="Image 1" descr="entete-c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cm2.png"/>
                  <pic:cNvPicPr/>
                </pic:nvPicPr>
                <pic:blipFill>
                  <a:blip r:embed="rId1"/>
                  <a:stretch>
                    <a:fillRect/>
                  </a:stretch>
                </pic:blipFill>
                <pic:spPr>
                  <a:xfrm>
                    <a:off x="0" y="0"/>
                    <a:ext cx="7560310" cy="1447800"/>
                  </a:xfrm>
                  <a:prstGeom prst="rect">
                    <a:avLst/>
                  </a:prstGeom>
                </pic:spPr>
              </pic:pic>
            </a:graphicData>
          </a:graphic>
        </wp:anchor>
      </w:drawing>
    </w: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0B3AEB" w:rsidRDefault="000B3AEB">
    <w:pPr>
      <w:pStyle w:val="En-tte"/>
    </w:pPr>
  </w:p>
  <w:p w:rsidR="00FC1ABF" w:rsidRDefault="00FC1AB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3AD"/>
    <w:multiLevelType w:val="hybridMultilevel"/>
    <w:tmpl w:val="4D702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D724D1"/>
    <w:multiLevelType w:val="hybridMultilevel"/>
    <w:tmpl w:val="4F9A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B2748E"/>
    <w:multiLevelType w:val="hybridMultilevel"/>
    <w:tmpl w:val="63EE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C36147D"/>
    <w:multiLevelType w:val="hybridMultilevel"/>
    <w:tmpl w:val="72349C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84D"/>
    <w:rsid w:val="00037A38"/>
    <w:rsid w:val="000632AC"/>
    <w:rsid w:val="000A1791"/>
    <w:rsid w:val="000B3AEB"/>
    <w:rsid w:val="00182B14"/>
    <w:rsid w:val="001F064F"/>
    <w:rsid w:val="00322832"/>
    <w:rsid w:val="003A384D"/>
    <w:rsid w:val="004076FB"/>
    <w:rsid w:val="004A0A68"/>
    <w:rsid w:val="004B1EC3"/>
    <w:rsid w:val="004D30CA"/>
    <w:rsid w:val="00501F67"/>
    <w:rsid w:val="005A3AC2"/>
    <w:rsid w:val="0077798E"/>
    <w:rsid w:val="007F55D2"/>
    <w:rsid w:val="008D4F2A"/>
    <w:rsid w:val="008F5E16"/>
    <w:rsid w:val="009D2BDF"/>
    <w:rsid w:val="00A1064F"/>
    <w:rsid w:val="00A67417"/>
    <w:rsid w:val="00B24473"/>
    <w:rsid w:val="00BD65D5"/>
    <w:rsid w:val="00D03CB2"/>
    <w:rsid w:val="00EA54B0"/>
    <w:rsid w:val="00F04A4B"/>
    <w:rsid w:val="00F32B7E"/>
    <w:rsid w:val="00FC1ABF"/>
    <w:rsid w:val="00FD7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paragraph" w:styleId="Paragraphedeliste">
    <w:name w:val="List Paragraph"/>
    <w:basedOn w:val="Normal"/>
    <w:uiPriority w:val="34"/>
    <w:qFormat/>
    <w:rsid w:val="003A384D"/>
    <w:pPr>
      <w:spacing w:after="0" w:line="240" w:lineRule="auto"/>
      <w:ind w:left="720"/>
    </w:pPr>
    <w:rPr>
      <w:rFonts w:ascii="Calibri" w:eastAsiaTheme="minorHAns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1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ABF"/>
    <w:rPr>
      <w:rFonts w:ascii="Tahoma" w:hAnsi="Tahoma" w:cs="Tahoma"/>
      <w:sz w:val="16"/>
      <w:szCs w:val="16"/>
    </w:rPr>
  </w:style>
  <w:style w:type="paragraph" w:styleId="En-tte">
    <w:name w:val="header"/>
    <w:basedOn w:val="Normal"/>
    <w:link w:val="En-tteCar"/>
    <w:uiPriority w:val="99"/>
    <w:unhideWhenUsed/>
    <w:rsid w:val="00FC1ABF"/>
    <w:pPr>
      <w:tabs>
        <w:tab w:val="center" w:pos="4536"/>
        <w:tab w:val="right" w:pos="9072"/>
      </w:tabs>
      <w:spacing w:after="0" w:line="240" w:lineRule="auto"/>
    </w:pPr>
  </w:style>
  <w:style w:type="character" w:customStyle="1" w:styleId="En-tteCar">
    <w:name w:val="En-tête Car"/>
    <w:basedOn w:val="Policepardfaut"/>
    <w:link w:val="En-tte"/>
    <w:uiPriority w:val="99"/>
    <w:rsid w:val="00FC1ABF"/>
  </w:style>
  <w:style w:type="paragraph" w:styleId="Pieddepage">
    <w:name w:val="footer"/>
    <w:basedOn w:val="Normal"/>
    <w:link w:val="PieddepageCar"/>
    <w:uiPriority w:val="99"/>
    <w:unhideWhenUsed/>
    <w:rsid w:val="00FC1A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ABF"/>
  </w:style>
  <w:style w:type="paragraph" w:styleId="Paragraphedeliste">
    <w:name w:val="List Paragraph"/>
    <w:basedOn w:val="Normal"/>
    <w:uiPriority w:val="34"/>
    <w:qFormat/>
    <w:rsid w:val="003A384D"/>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4379">
      <w:bodyDiv w:val="1"/>
      <w:marLeft w:val="0"/>
      <w:marRight w:val="0"/>
      <w:marTop w:val="0"/>
      <w:marBottom w:val="0"/>
      <w:divBdr>
        <w:top w:val="none" w:sz="0" w:space="0" w:color="auto"/>
        <w:left w:val="none" w:sz="0" w:space="0" w:color="auto"/>
        <w:bottom w:val="none" w:sz="0" w:space="0" w:color="auto"/>
        <w:right w:val="none" w:sz="0" w:space="0" w:color="auto"/>
      </w:divBdr>
    </w:div>
    <w:div w:id="12923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ri&#233;taire\Documents\Cercle%20Montesquieu\Charte%20graphique\Ent&#234;te_Cercle%20montesquieu.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Entête_Cercle montesquieu.dotx</Template>
  <TotalTime>0</TotalTime>
  <Pages>3</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cp:lastPrinted>2014-05-23T15:04:00Z</cp:lastPrinted>
  <dcterms:created xsi:type="dcterms:W3CDTF">2014-12-03T15:17:00Z</dcterms:created>
  <dcterms:modified xsi:type="dcterms:W3CDTF">2014-12-03T15:17:00Z</dcterms:modified>
</cp:coreProperties>
</file>